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77" w:rsidRPr="006C7577" w:rsidRDefault="006C7577" w:rsidP="006C7577">
      <w:pPr>
        <w:pStyle w:val="1"/>
        <w:shd w:val="clear" w:color="auto" w:fill="FFFFFF"/>
        <w:spacing w:before="0" w:beforeAutospacing="0" w:after="72" w:afterAutospacing="0" w:line="600" w:lineRule="atLeast"/>
        <w:jc w:val="center"/>
        <w:rPr>
          <w:rFonts w:ascii="Tahoma" w:hAnsi="Tahoma" w:cs="Tahoma"/>
          <w:b w:val="0"/>
          <w:bCs w:val="0"/>
          <w:color w:val="000000"/>
          <w:sz w:val="32"/>
          <w:szCs w:val="45"/>
        </w:rPr>
      </w:pPr>
      <w:r w:rsidRPr="006C7577">
        <w:rPr>
          <w:rFonts w:ascii="Tahoma" w:hAnsi="Tahoma" w:cs="Tahoma"/>
          <w:b w:val="0"/>
          <w:bCs w:val="0"/>
          <w:color w:val="000000"/>
          <w:sz w:val="32"/>
          <w:szCs w:val="45"/>
        </w:rPr>
        <w:t>ПРОЕКТНАЯ ДЕКЛАРАЦИЯ НА ЖИЛОЙ КОМПЛЕКС «ФОРСАЖ», ДОМ №</w:t>
      </w:r>
      <w:r w:rsidR="0093107F">
        <w:rPr>
          <w:rFonts w:ascii="Tahoma" w:hAnsi="Tahoma" w:cs="Tahoma"/>
          <w:b w:val="0"/>
          <w:bCs w:val="0"/>
          <w:color w:val="000000"/>
          <w:sz w:val="32"/>
          <w:szCs w:val="45"/>
        </w:rPr>
        <w:t>1</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38"/>
          <w:szCs w:val="38"/>
        </w:rPr>
        <w:t>Информация о застройщике.</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1.  </w:t>
      </w:r>
      <w:r>
        <w:rPr>
          <w:rStyle w:val="a4"/>
          <w:rFonts w:ascii="Tahoma" w:hAnsi="Tahoma" w:cs="Tahoma"/>
          <w:color w:val="000000"/>
          <w:sz w:val="18"/>
          <w:szCs w:val="18"/>
        </w:rPr>
        <w:t>Застройщик</w:t>
      </w:r>
      <w:r>
        <w:rPr>
          <w:rFonts w:ascii="Tahoma" w:hAnsi="Tahoma" w:cs="Tahoma"/>
          <w:color w:val="000000"/>
          <w:sz w:val="18"/>
          <w:szCs w:val="18"/>
        </w:rPr>
        <w:t> – Общество с ограниченной ответственностью «Сибирь-Инвест». Сокращенное наименование – ООО «Сибирь-Инвест».</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xml:space="preserve">Место </w:t>
      </w:r>
      <w:proofErr w:type="gramStart"/>
      <w:r>
        <w:rPr>
          <w:rStyle w:val="a4"/>
          <w:rFonts w:ascii="Tahoma" w:hAnsi="Tahoma" w:cs="Tahoma"/>
          <w:color w:val="000000"/>
          <w:sz w:val="18"/>
          <w:szCs w:val="18"/>
        </w:rPr>
        <w:t>нахождения</w:t>
      </w:r>
      <w:r>
        <w:rPr>
          <w:rFonts w:ascii="Tahoma" w:hAnsi="Tahoma" w:cs="Tahoma"/>
          <w:color w:val="000000"/>
          <w:sz w:val="18"/>
          <w:szCs w:val="18"/>
        </w:rPr>
        <w:t>:   </w:t>
      </w:r>
      <w:proofErr w:type="gramEnd"/>
      <w:r>
        <w:rPr>
          <w:rFonts w:ascii="Tahoma" w:hAnsi="Tahoma" w:cs="Tahoma"/>
          <w:color w:val="000000"/>
          <w:sz w:val="18"/>
          <w:szCs w:val="18"/>
        </w:rPr>
        <w:t>      660079, г. Красноярск, ул. 60 лет Октября, д. 144.</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xml:space="preserve">Почтовый и фактический </w:t>
      </w:r>
      <w:proofErr w:type="gramStart"/>
      <w:r>
        <w:rPr>
          <w:rStyle w:val="a4"/>
          <w:rFonts w:ascii="Tahoma" w:hAnsi="Tahoma" w:cs="Tahoma"/>
          <w:color w:val="000000"/>
          <w:sz w:val="18"/>
          <w:szCs w:val="18"/>
        </w:rPr>
        <w:t>адрес:</w:t>
      </w:r>
      <w:r>
        <w:rPr>
          <w:rFonts w:ascii="Tahoma" w:hAnsi="Tahoma" w:cs="Tahoma"/>
          <w:color w:val="000000"/>
          <w:sz w:val="18"/>
          <w:szCs w:val="18"/>
        </w:rPr>
        <w:t>   </w:t>
      </w:r>
      <w:proofErr w:type="gramEnd"/>
      <w:r>
        <w:rPr>
          <w:rFonts w:ascii="Tahoma" w:hAnsi="Tahoma" w:cs="Tahoma"/>
          <w:color w:val="000000"/>
          <w:sz w:val="18"/>
          <w:szCs w:val="18"/>
        </w:rPr>
        <w:t>  660018, г. Красноярск, ул. Куйбышева, д. 97 «Г», оф. 1.</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Режим </w:t>
      </w:r>
      <w:proofErr w:type="gramStart"/>
      <w:r>
        <w:rPr>
          <w:rFonts w:ascii="Tahoma" w:hAnsi="Tahoma" w:cs="Tahoma"/>
          <w:color w:val="000000"/>
          <w:sz w:val="18"/>
          <w:szCs w:val="18"/>
        </w:rPr>
        <w:t>работы:   </w:t>
      </w:r>
      <w:proofErr w:type="gramEnd"/>
      <w:r>
        <w:rPr>
          <w:rFonts w:ascii="Tahoma" w:hAnsi="Tahoma" w:cs="Tahoma"/>
          <w:color w:val="000000"/>
          <w:sz w:val="18"/>
          <w:szCs w:val="18"/>
        </w:rPr>
        <w:t>               понедельник – пятница с 9 до 18 час.</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выходные дни: суббота – воскресенье.</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2.  ООО «Сибирь-Инвест» зарегистрировано Межрайонной инспекцией Федеральной налоговой службы №23 по Красноярскому краю (основной государственный регистрационный номер 1042402506850; дата регистрации – 19.02.2010.), что подтверждается: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свидетельством о государственной регистрации юридического лица серии 24 № 006253890;</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свидетельством о внесении записи в Единый государственный реестр юридических лиц серии 24 № 005352289;</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свидетельством о постановке на учет в налоговом органе, </w:t>
      </w:r>
      <w:r>
        <w:rPr>
          <w:rFonts w:ascii="Tahoma" w:hAnsi="Tahoma" w:cs="Tahoma"/>
          <w:color w:val="000000"/>
          <w:sz w:val="18"/>
          <w:szCs w:val="18"/>
        </w:rPr>
        <w:br/>
        <w:t>серия 24 № 005878713</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3.  </w:t>
      </w:r>
      <w:r>
        <w:rPr>
          <w:rStyle w:val="a4"/>
          <w:rFonts w:ascii="Tahoma" w:hAnsi="Tahoma" w:cs="Tahoma"/>
          <w:color w:val="000000"/>
          <w:sz w:val="18"/>
          <w:szCs w:val="18"/>
        </w:rPr>
        <w:t>Учредителем ООО «Сибирь-Инвест» является</w:t>
      </w:r>
      <w:r>
        <w:rPr>
          <w:rFonts w:ascii="Tahoma" w:hAnsi="Tahoma" w:cs="Tahoma"/>
          <w:color w:val="000000"/>
          <w:sz w:val="18"/>
          <w:szCs w:val="18"/>
        </w:rPr>
        <w:t> Зленко Сергей Федорович – доля 100% номинальной стоимостью 10000 (Десять тысяч) рублей.</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4. В строительстве многоквартирных домов и иных объектов недвижимости ООО «Сибирь-Инвест» не принимало участие.</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 Финансовый результат за I квартал 2015 года, на 01.04.2015г. убыток 0 руб.; кредиторская задолженность на 01.04.2015г. – 102 033,35 руб.; дебиторская задолженность на 01.04.2015г. – 3 232 962,86 руб.</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93107F" w:rsidRDefault="0093107F" w:rsidP="0093107F">
      <w:pPr>
        <w:pStyle w:val="2"/>
        <w:shd w:val="clear" w:color="auto" w:fill="FFFFFF"/>
        <w:spacing w:before="150" w:after="48" w:line="600" w:lineRule="atLeast"/>
        <w:rPr>
          <w:rFonts w:ascii="inherit" w:hAnsi="inherit" w:cs="Tahoma"/>
          <w:color w:val="000000"/>
          <w:sz w:val="38"/>
          <w:szCs w:val="38"/>
        </w:rPr>
      </w:pPr>
      <w:r>
        <w:rPr>
          <w:rFonts w:ascii="inherit" w:hAnsi="inherit" w:cs="Tahoma"/>
          <w:b/>
          <w:bCs/>
          <w:color w:val="000000"/>
          <w:sz w:val="38"/>
          <w:szCs w:val="38"/>
        </w:rPr>
        <w:t>Информация о проекте строительства.</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«Жилой многоквартирный дом №1 жилого комплекса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xml:space="preserve">» по адресу: Красноярский край, Березовский район, п.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ул. Чапаева, 2».</w:t>
      </w:r>
    </w:p>
    <w:p w:rsidR="0093107F" w:rsidRDefault="0093107F" w:rsidP="0093107F">
      <w:pPr>
        <w:numPr>
          <w:ilvl w:val="0"/>
          <w:numId w:val="8"/>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Цель проекта строительства: предоставление возможности жителям Красноярского края улучшить жилищные условия, приобретая комфортные квартиры в строящихся жилых домах.</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Начало </w:t>
      </w:r>
      <w:proofErr w:type="gramStart"/>
      <w:r>
        <w:rPr>
          <w:rFonts w:ascii="Tahoma" w:hAnsi="Tahoma" w:cs="Tahoma"/>
          <w:color w:val="000000"/>
          <w:sz w:val="18"/>
          <w:szCs w:val="18"/>
        </w:rPr>
        <w:t>строительства  –</w:t>
      </w:r>
      <w:proofErr w:type="gramEnd"/>
      <w:r>
        <w:rPr>
          <w:rFonts w:ascii="Tahoma" w:hAnsi="Tahoma" w:cs="Tahoma"/>
          <w:color w:val="000000"/>
          <w:sz w:val="18"/>
          <w:szCs w:val="18"/>
        </w:rPr>
        <w:t xml:space="preserve">  </w:t>
      </w:r>
      <w:r>
        <w:rPr>
          <w:rStyle w:val="a4"/>
          <w:rFonts w:ascii="Tahoma" w:hAnsi="Tahoma" w:cs="Tahoma"/>
          <w:color w:val="000000"/>
          <w:sz w:val="18"/>
          <w:szCs w:val="18"/>
        </w:rPr>
        <w:t>II квартал</w:t>
      </w:r>
      <w:r>
        <w:rPr>
          <w:rFonts w:ascii="Tahoma" w:hAnsi="Tahoma" w:cs="Tahoma"/>
          <w:color w:val="000000"/>
          <w:sz w:val="18"/>
          <w:szCs w:val="18"/>
        </w:rPr>
        <w:t> </w:t>
      </w:r>
      <w:r>
        <w:rPr>
          <w:rStyle w:val="a4"/>
          <w:rFonts w:ascii="Tahoma" w:hAnsi="Tahoma" w:cs="Tahoma"/>
          <w:color w:val="000000"/>
          <w:sz w:val="18"/>
          <w:szCs w:val="18"/>
        </w:rPr>
        <w:t>2015 года</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Окончание строительства и срок сдачи в эксплуатацию –</w:t>
      </w:r>
      <w:r>
        <w:rPr>
          <w:rStyle w:val="a4"/>
          <w:rFonts w:ascii="Tahoma" w:hAnsi="Tahoma" w:cs="Tahoma"/>
          <w:color w:val="000000"/>
          <w:sz w:val="18"/>
          <w:szCs w:val="18"/>
        </w:rPr>
        <w:t> 13 марта 2016 года.</w:t>
      </w:r>
    </w:p>
    <w:p w:rsidR="0093107F" w:rsidRDefault="0093107F" w:rsidP="0093107F">
      <w:pPr>
        <w:numPr>
          <w:ilvl w:val="0"/>
          <w:numId w:val="9"/>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Информация о разрешении на строительство:</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Разрешение на строительство объекта капитального строительства:</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«Жилой многоквартирный дом №1 жилого комплекса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xml:space="preserve">» по адресу: Красноярский край, Березовский район, п.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ул. Чапаева, 2», выдано Администрацией Березовского района за № RU 24504301-3 от 13 марта 2015г.</w:t>
      </w:r>
    </w:p>
    <w:p w:rsidR="0093107F" w:rsidRDefault="0093107F" w:rsidP="0093107F">
      <w:pPr>
        <w:numPr>
          <w:ilvl w:val="0"/>
          <w:numId w:val="10"/>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Права Застройщика на земельный участок:</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Земельный участок с кадастровым номером 24:04:62 02 001:814, площадью 10 724,0 м</w:t>
      </w:r>
      <w:r>
        <w:rPr>
          <w:rFonts w:ascii="Tahoma" w:hAnsi="Tahoma" w:cs="Tahoma"/>
          <w:color w:val="000000"/>
          <w:sz w:val="14"/>
          <w:szCs w:val="14"/>
          <w:vertAlign w:val="superscript"/>
        </w:rPr>
        <w:t>2</w:t>
      </w:r>
      <w:r>
        <w:rPr>
          <w:rFonts w:ascii="Tahoma" w:hAnsi="Tahoma" w:cs="Tahoma"/>
          <w:color w:val="000000"/>
          <w:sz w:val="18"/>
          <w:szCs w:val="18"/>
        </w:rPr>
        <w:t xml:space="preserve">, расположенный по адресу: Красноярский край, р-н Березовский, Ориентир д.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xml:space="preserve">, часть контура пастбищ №324 (участок </w:t>
      </w:r>
      <w:r>
        <w:rPr>
          <w:rFonts w:ascii="Tahoma" w:hAnsi="Tahoma" w:cs="Tahoma"/>
          <w:color w:val="000000"/>
          <w:sz w:val="18"/>
          <w:szCs w:val="18"/>
        </w:rPr>
        <w:lastRenderedPageBreak/>
        <w:t>находится примерно в 500 м от ориентира по направлению на северо-запад), предоставлен Застройщику по договору аренды сроком на 3 года (договор аренды № б/н от 01.03.2015 года), зарегистрированный Управлением Федеральной службы государственной регистрации, кадастра и картографии по Красноярскому краю, номер регистрационного округа 24 (Номер регистрации 24.24/005.24/001/001/20157029 от 08.04.2015). Собственник Зленко Сергей Федорович.</w:t>
      </w:r>
    </w:p>
    <w:p w:rsidR="0093107F" w:rsidRDefault="0093107F" w:rsidP="0093107F">
      <w:pPr>
        <w:numPr>
          <w:ilvl w:val="0"/>
          <w:numId w:val="11"/>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 xml:space="preserve">Строящийся жилой дом расположен в соответствии со Схемой планировочной организации участка, в зоне малоэтажной жилой застройки по ул. Чапаева, 2. Жилая зона ориентирована на восточную сторону, с видом на реку </w:t>
      </w:r>
      <w:proofErr w:type="spellStart"/>
      <w:r>
        <w:rPr>
          <w:rFonts w:ascii="Tahoma" w:hAnsi="Tahoma" w:cs="Tahoma"/>
          <w:color w:val="000000"/>
          <w:sz w:val="18"/>
          <w:szCs w:val="18"/>
        </w:rPr>
        <w:t>Есауловка</w:t>
      </w:r>
      <w:proofErr w:type="spellEnd"/>
      <w:r>
        <w:rPr>
          <w:rFonts w:ascii="Tahoma" w:hAnsi="Tahoma" w:cs="Tahoma"/>
          <w:color w:val="000000"/>
          <w:sz w:val="18"/>
          <w:szCs w:val="18"/>
        </w:rPr>
        <w:t>, на лес, общественная – на Центр активного отдыха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Многоквартирный жилой дом №1 выполнен из каркасов ЛСТК (легкие стальные тонкостенные конструкции).</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w:t>
      </w:r>
    </w:p>
    <w:p w:rsidR="0093107F" w:rsidRDefault="0093107F" w:rsidP="0093107F">
      <w:pPr>
        <w:numPr>
          <w:ilvl w:val="0"/>
          <w:numId w:val="12"/>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Количество и технические характеристики квартир, подлежащих передаче Застройщиком участникам долевого строительства после получения разрешения на ввод в эксплуатацию многоквартирного жилого дома №1:</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Количество квартир – 15, в том числе однокомнатных – 12, двухкомнатных – 3.</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tbl>
      <w:tblPr>
        <w:tblW w:w="8745" w:type="dxa"/>
        <w:tblCellMar>
          <w:left w:w="0" w:type="dxa"/>
          <w:right w:w="0" w:type="dxa"/>
        </w:tblCellMar>
        <w:tblLook w:val="04A0" w:firstRow="1" w:lastRow="0" w:firstColumn="1" w:lastColumn="0" w:noHBand="0" w:noVBand="1"/>
      </w:tblPr>
      <w:tblGrid>
        <w:gridCol w:w="540"/>
        <w:gridCol w:w="3585"/>
        <w:gridCol w:w="1875"/>
        <w:gridCol w:w="1545"/>
        <w:gridCol w:w="1200"/>
      </w:tblGrid>
      <w:tr w:rsidR="0093107F" w:rsidTr="0093107F">
        <w:tc>
          <w:tcPr>
            <w:tcW w:w="540" w:type="dxa"/>
            <w:shd w:val="clear" w:color="auto" w:fill="auto"/>
            <w:vAlign w:val="center"/>
            <w:hideMark/>
          </w:tcPr>
          <w:p w:rsidR="0093107F" w:rsidRDefault="0093107F">
            <w:pPr>
              <w:pStyle w:val="a3"/>
              <w:spacing w:before="0" w:beforeAutospacing="0" w:after="150" w:afterAutospacing="0"/>
              <w:rPr>
                <w:sz w:val="18"/>
                <w:szCs w:val="18"/>
              </w:rPr>
            </w:pPr>
            <w:r>
              <w:rPr>
                <w:sz w:val="18"/>
                <w:szCs w:val="18"/>
              </w:rPr>
              <w:t>№ п/п</w:t>
            </w:r>
          </w:p>
        </w:tc>
        <w:tc>
          <w:tcPr>
            <w:tcW w:w="3585" w:type="dxa"/>
            <w:shd w:val="clear" w:color="auto" w:fill="auto"/>
            <w:vAlign w:val="center"/>
            <w:hideMark/>
          </w:tcPr>
          <w:p w:rsidR="0093107F" w:rsidRDefault="0093107F">
            <w:pPr>
              <w:pStyle w:val="a3"/>
              <w:spacing w:before="0" w:beforeAutospacing="0" w:after="150" w:afterAutospacing="0"/>
              <w:rPr>
                <w:sz w:val="18"/>
                <w:szCs w:val="18"/>
              </w:rPr>
            </w:pPr>
            <w:r>
              <w:rPr>
                <w:sz w:val="18"/>
                <w:szCs w:val="18"/>
              </w:rPr>
              <w:t>Наименование</w:t>
            </w:r>
          </w:p>
        </w:tc>
        <w:tc>
          <w:tcPr>
            <w:tcW w:w="1875" w:type="dxa"/>
            <w:shd w:val="clear" w:color="auto" w:fill="auto"/>
            <w:vAlign w:val="center"/>
            <w:hideMark/>
          </w:tcPr>
          <w:p w:rsidR="0093107F" w:rsidRDefault="0093107F">
            <w:pPr>
              <w:pStyle w:val="a3"/>
              <w:spacing w:before="0" w:beforeAutospacing="0" w:after="150" w:afterAutospacing="0"/>
              <w:rPr>
                <w:sz w:val="18"/>
                <w:szCs w:val="18"/>
              </w:rPr>
            </w:pPr>
            <w:r>
              <w:rPr>
                <w:sz w:val="18"/>
                <w:szCs w:val="18"/>
              </w:rPr>
              <w:t>Общая площадь квартиры (с учетом балконов, лоджий), м2</w:t>
            </w:r>
          </w:p>
        </w:tc>
        <w:tc>
          <w:tcPr>
            <w:tcW w:w="1545" w:type="dxa"/>
            <w:shd w:val="clear" w:color="auto" w:fill="auto"/>
            <w:vAlign w:val="center"/>
            <w:hideMark/>
          </w:tcPr>
          <w:p w:rsidR="0093107F" w:rsidRDefault="0093107F">
            <w:pPr>
              <w:pStyle w:val="a3"/>
              <w:spacing w:before="0" w:beforeAutospacing="0" w:after="150" w:afterAutospacing="0"/>
              <w:rPr>
                <w:sz w:val="18"/>
                <w:szCs w:val="18"/>
              </w:rPr>
            </w:pPr>
            <w:r>
              <w:rPr>
                <w:sz w:val="18"/>
                <w:szCs w:val="18"/>
              </w:rPr>
              <w:t>Общая площадь балконов, лоджий, м2</w:t>
            </w:r>
          </w:p>
        </w:tc>
        <w:tc>
          <w:tcPr>
            <w:tcW w:w="1200" w:type="dxa"/>
            <w:shd w:val="clear" w:color="auto" w:fill="auto"/>
            <w:vAlign w:val="center"/>
            <w:hideMark/>
          </w:tcPr>
          <w:p w:rsidR="0093107F" w:rsidRDefault="0093107F">
            <w:pPr>
              <w:pStyle w:val="a3"/>
              <w:spacing w:before="0" w:beforeAutospacing="0" w:after="150" w:afterAutospacing="0"/>
              <w:rPr>
                <w:sz w:val="18"/>
                <w:szCs w:val="18"/>
              </w:rPr>
            </w:pPr>
            <w:r>
              <w:rPr>
                <w:sz w:val="18"/>
                <w:szCs w:val="18"/>
              </w:rPr>
              <w:t>Кол-во квартир, шт.</w:t>
            </w:r>
          </w:p>
        </w:tc>
      </w:tr>
      <w:tr w:rsidR="0093107F" w:rsidTr="0093107F">
        <w:tc>
          <w:tcPr>
            <w:tcW w:w="54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1</w:t>
            </w:r>
          </w:p>
        </w:tc>
        <w:tc>
          <w:tcPr>
            <w:tcW w:w="358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однокомнатная квартира</w:t>
            </w:r>
          </w:p>
        </w:tc>
        <w:tc>
          <w:tcPr>
            <w:tcW w:w="187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39,49</w:t>
            </w:r>
          </w:p>
        </w:tc>
        <w:tc>
          <w:tcPr>
            <w:tcW w:w="154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2,28</w:t>
            </w:r>
          </w:p>
        </w:tc>
        <w:tc>
          <w:tcPr>
            <w:tcW w:w="120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w:t>
            </w:r>
          </w:p>
        </w:tc>
      </w:tr>
      <w:tr w:rsidR="0093107F" w:rsidTr="0093107F">
        <w:tc>
          <w:tcPr>
            <w:tcW w:w="54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2</w:t>
            </w:r>
          </w:p>
        </w:tc>
        <w:tc>
          <w:tcPr>
            <w:tcW w:w="358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однокомнатная квартира</w:t>
            </w:r>
          </w:p>
        </w:tc>
        <w:tc>
          <w:tcPr>
            <w:tcW w:w="187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43,16</w:t>
            </w:r>
          </w:p>
        </w:tc>
        <w:tc>
          <w:tcPr>
            <w:tcW w:w="154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3,85</w:t>
            </w:r>
          </w:p>
        </w:tc>
        <w:tc>
          <w:tcPr>
            <w:tcW w:w="120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w:t>
            </w:r>
          </w:p>
        </w:tc>
      </w:tr>
      <w:tr w:rsidR="0093107F" w:rsidTr="0093107F">
        <w:tc>
          <w:tcPr>
            <w:tcW w:w="54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w:t>
            </w:r>
          </w:p>
        </w:tc>
        <w:tc>
          <w:tcPr>
            <w:tcW w:w="358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однокомнатная квартира</w:t>
            </w:r>
          </w:p>
        </w:tc>
        <w:tc>
          <w:tcPr>
            <w:tcW w:w="187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38,93</w:t>
            </w:r>
          </w:p>
        </w:tc>
        <w:tc>
          <w:tcPr>
            <w:tcW w:w="154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2,28</w:t>
            </w:r>
          </w:p>
        </w:tc>
        <w:tc>
          <w:tcPr>
            <w:tcW w:w="120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w:t>
            </w:r>
          </w:p>
        </w:tc>
      </w:tr>
      <w:tr w:rsidR="0093107F" w:rsidTr="0093107F">
        <w:tc>
          <w:tcPr>
            <w:tcW w:w="54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4</w:t>
            </w:r>
          </w:p>
        </w:tc>
        <w:tc>
          <w:tcPr>
            <w:tcW w:w="358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однокомнатная квартира</w:t>
            </w:r>
          </w:p>
        </w:tc>
        <w:tc>
          <w:tcPr>
            <w:tcW w:w="187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39,52</w:t>
            </w:r>
          </w:p>
        </w:tc>
        <w:tc>
          <w:tcPr>
            <w:tcW w:w="154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2,28</w:t>
            </w:r>
          </w:p>
        </w:tc>
        <w:tc>
          <w:tcPr>
            <w:tcW w:w="120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w:t>
            </w:r>
          </w:p>
        </w:tc>
      </w:tr>
      <w:tr w:rsidR="0093107F" w:rsidTr="0093107F">
        <w:tc>
          <w:tcPr>
            <w:tcW w:w="54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5</w:t>
            </w:r>
          </w:p>
        </w:tc>
        <w:tc>
          <w:tcPr>
            <w:tcW w:w="358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двухкомнатная квартира</w:t>
            </w:r>
          </w:p>
        </w:tc>
        <w:tc>
          <w:tcPr>
            <w:tcW w:w="187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65,24</w:t>
            </w:r>
          </w:p>
        </w:tc>
        <w:tc>
          <w:tcPr>
            <w:tcW w:w="1545"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4,08</w:t>
            </w:r>
          </w:p>
        </w:tc>
        <w:tc>
          <w:tcPr>
            <w:tcW w:w="1200" w:type="dxa"/>
            <w:shd w:val="clear" w:color="auto" w:fill="auto"/>
            <w:vAlign w:val="bottom"/>
            <w:hideMark/>
          </w:tcPr>
          <w:p w:rsidR="0093107F" w:rsidRDefault="0093107F">
            <w:pPr>
              <w:pStyle w:val="a3"/>
              <w:spacing w:before="0" w:beforeAutospacing="0" w:after="150" w:afterAutospacing="0"/>
              <w:rPr>
                <w:sz w:val="18"/>
                <w:szCs w:val="18"/>
              </w:rPr>
            </w:pPr>
            <w:r>
              <w:rPr>
                <w:sz w:val="18"/>
                <w:szCs w:val="18"/>
              </w:rPr>
              <w:t>3</w:t>
            </w:r>
          </w:p>
        </w:tc>
      </w:tr>
    </w:tbl>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Фундаменты – винтовые стальные сваи длиной 5 и 8 м. Класс бетона по прочности В25, по морозостойкости F150, по водопроницаемости W8.</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Наружные стены выполняются многослойными из профилей ЛСТК, толщиной 200 мм, утеплитель между профилями – базальтовый плитный, облицовка стен снаружи – </w:t>
      </w:r>
      <w:proofErr w:type="spellStart"/>
      <w:r>
        <w:rPr>
          <w:rFonts w:ascii="Tahoma" w:hAnsi="Tahoma" w:cs="Tahoma"/>
          <w:color w:val="000000"/>
          <w:sz w:val="18"/>
          <w:szCs w:val="18"/>
        </w:rPr>
        <w:t>Гринборд</w:t>
      </w:r>
      <w:proofErr w:type="spellEnd"/>
      <w:r>
        <w:rPr>
          <w:rFonts w:ascii="Tahoma" w:hAnsi="Tahoma" w:cs="Tahoma"/>
          <w:color w:val="000000"/>
          <w:sz w:val="18"/>
          <w:szCs w:val="18"/>
        </w:rPr>
        <w:t xml:space="preserve"> ГБ2 толщиной 25 мм с последующей облицовкой фасадными панелями; облицовка стен изнутри – </w:t>
      </w:r>
      <w:proofErr w:type="spellStart"/>
      <w:r>
        <w:rPr>
          <w:rFonts w:ascii="Tahoma" w:hAnsi="Tahoma" w:cs="Tahoma"/>
          <w:color w:val="000000"/>
          <w:sz w:val="18"/>
          <w:szCs w:val="18"/>
        </w:rPr>
        <w:t>Гринборд</w:t>
      </w:r>
      <w:proofErr w:type="spellEnd"/>
      <w:r>
        <w:rPr>
          <w:rFonts w:ascii="Tahoma" w:hAnsi="Tahoma" w:cs="Tahoma"/>
          <w:color w:val="000000"/>
          <w:sz w:val="18"/>
          <w:szCs w:val="18"/>
        </w:rPr>
        <w:t xml:space="preserve"> ГБ2 толщиной 25 мм с последующим шпатлеванием, оклейкой обоями, либо плиткой в сан. узлах.</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Внутренние стены – многослойные из профилей ЛСТК, толщиной 150 мм, утеплитель между профилями - базальтовый плитный, облицовка стен – листы ГКЛ толщиной 10 мм в 2 слоя.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Перегородки выполняются многослойными из профилей ЛСТК толщиной 100 мм, утеплитель между профилями - базальтовый плитный, облицовка стен – листы ГКЛ толщиной 10 мм в 2 слоя.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Конструкция пола 1. 2. 3 этажа выполняется многослойной: по ЛСТК </w:t>
      </w:r>
      <w:proofErr w:type="spellStart"/>
      <w:r>
        <w:rPr>
          <w:rFonts w:ascii="Tahoma" w:hAnsi="Tahoma" w:cs="Tahoma"/>
          <w:color w:val="000000"/>
          <w:sz w:val="18"/>
          <w:szCs w:val="18"/>
        </w:rPr>
        <w:t>профнастил</w:t>
      </w:r>
      <w:proofErr w:type="spellEnd"/>
      <w:r>
        <w:rPr>
          <w:rFonts w:ascii="Tahoma" w:hAnsi="Tahoma" w:cs="Tahoma"/>
          <w:color w:val="000000"/>
          <w:sz w:val="18"/>
          <w:szCs w:val="18"/>
        </w:rPr>
        <w:t xml:space="preserve"> 18 мм, 2 слоя ГВЛВ 12,5 мм; подкладка под линолеум, линолеум; в сан. узлах керамическая плитка.</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Конструкции межэтажных перекрытий утепляются базальтовыми плитами, толщина слоя утепления 200 мм. Чердачное перекрытие утепляется базальтовыми плитами, со стороны чердака укладывается </w:t>
      </w:r>
      <w:proofErr w:type="spellStart"/>
      <w:r>
        <w:rPr>
          <w:rFonts w:ascii="Tahoma" w:hAnsi="Tahoma" w:cs="Tahoma"/>
          <w:color w:val="000000"/>
          <w:sz w:val="18"/>
          <w:szCs w:val="18"/>
        </w:rPr>
        <w:t>гидроветрозащитная</w:t>
      </w:r>
      <w:proofErr w:type="spellEnd"/>
      <w:r>
        <w:rPr>
          <w:rFonts w:ascii="Tahoma" w:hAnsi="Tahoma" w:cs="Tahoma"/>
          <w:color w:val="000000"/>
          <w:sz w:val="18"/>
          <w:szCs w:val="18"/>
        </w:rPr>
        <w:t xml:space="preserve"> пленка, со стороны помещения – пароизоляционная пленка.</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Потолок 1, 2, 3 этажа – 1 слой ГКЛ 9 мм по обрешетке из гипсокартонного профиля.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Кровля из </w:t>
      </w:r>
      <w:proofErr w:type="spellStart"/>
      <w:r>
        <w:rPr>
          <w:rFonts w:ascii="Tahoma" w:hAnsi="Tahoma" w:cs="Tahoma"/>
          <w:color w:val="000000"/>
          <w:sz w:val="18"/>
          <w:szCs w:val="18"/>
        </w:rPr>
        <w:t>профнастила</w:t>
      </w:r>
      <w:proofErr w:type="spellEnd"/>
      <w:r>
        <w:rPr>
          <w:rFonts w:ascii="Tahoma" w:hAnsi="Tahoma" w:cs="Tahoma"/>
          <w:color w:val="000000"/>
          <w:sz w:val="18"/>
          <w:szCs w:val="18"/>
        </w:rPr>
        <w:t xml:space="preserve"> Н-75, </w:t>
      </w:r>
      <w:proofErr w:type="spellStart"/>
      <w:r>
        <w:rPr>
          <w:rFonts w:ascii="Tahoma" w:hAnsi="Tahoma" w:cs="Tahoma"/>
          <w:color w:val="000000"/>
          <w:sz w:val="18"/>
          <w:szCs w:val="18"/>
        </w:rPr>
        <w:t>гидроветрозащитная</w:t>
      </w:r>
      <w:proofErr w:type="spellEnd"/>
      <w:r>
        <w:rPr>
          <w:rFonts w:ascii="Tahoma" w:hAnsi="Tahoma" w:cs="Tahoma"/>
          <w:color w:val="000000"/>
          <w:sz w:val="18"/>
          <w:szCs w:val="18"/>
        </w:rPr>
        <w:t xml:space="preserve"> пленка по профилям-прогонам из ПС 100-50-2,0 ЛСТК. Отвод воды с кровли – наружный, организованный.</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Окна – ПВХ-профиль, двухкамерный стеклопакет, подоконная доска пластиковая.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Ограждение лоджий из алюминиевого профиля с одинарным остеклением.</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 xml:space="preserve">Отделка жилых помещений – чистовая: полы - линолеум, стены – обои под покраску, потолки – натяжные; 100% выполнение инженерных систем: отопление, электроснабжение, водоснабжение и </w:t>
      </w:r>
      <w:proofErr w:type="spellStart"/>
      <w:r>
        <w:rPr>
          <w:rFonts w:ascii="Tahoma" w:hAnsi="Tahoma" w:cs="Tahoma"/>
          <w:color w:val="000000"/>
          <w:sz w:val="18"/>
          <w:szCs w:val="18"/>
        </w:rPr>
        <w:t>канализование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санфаянс</w:t>
      </w:r>
      <w:proofErr w:type="spellEnd"/>
      <w:r>
        <w:rPr>
          <w:rFonts w:ascii="Tahoma" w:hAnsi="Tahoma" w:cs="Tahoma"/>
          <w:color w:val="000000"/>
          <w:sz w:val="18"/>
          <w:szCs w:val="18"/>
        </w:rPr>
        <w:t xml:space="preserve"> – унитаз в туалете, раковина на кухне; межкомнатная дверь в сан. узел, металлическая дверь в квартиру.</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 В состав общего имущества жилого дома, которое будет находиться в общей долевой собственности участников долевого строительства входят: внутренние инженерные коммуникации, помещения общего пользования, в том числе лестничные марши и площадки,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земельный участок, на котором расположен данный объект с элементами озеленения и благоустройства и иные объекты, необходимые для обслуживания и эксплуатации данного дома.</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7. Предполагаемый срок получения разрешения на ввод в эксплуатацию объекта - I квартал 2016 года. Приемку объекта в эксплуатацию осуществляет Администрация Березовского района. Планируемая стоимость строительства «Жилого </w:t>
      </w:r>
      <w:proofErr w:type="spellStart"/>
      <w:r>
        <w:rPr>
          <w:rFonts w:ascii="Tahoma" w:hAnsi="Tahoma" w:cs="Tahoma"/>
          <w:color w:val="000000"/>
          <w:sz w:val="18"/>
          <w:szCs w:val="18"/>
        </w:rPr>
        <w:t>многоквартирноно</w:t>
      </w:r>
      <w:proofErr w:type="spellEnd"/>
      <w:r>
        <w:rPr>
          <w:rFonts w:ascii="Tahoma" w:hAnsi="Tahoma" w:cs="Tahoma"/>
          <w:color w:val="000000"/>
          <w:sz w:val="18"/>
          <w:szCs w:val="18"/>
        </w:rPr>
        <w:t xml:space="preserve"> дома №1 жилого комплекса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xml:space="preserve">» по адресу: Красноярский край, Березовский район, п.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ул. Чапаева, 2» составит - 15 млн. руб.</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8. Застройщик осуществляет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Возможные финансовые и иные риски при осуществлении проекта строительства могут быть застрахованы участниками долевого строительства самостоятельно.</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 Перечень организаций, осуществляющих основные строительно-монтажные и другие работы: генеральный подрядчик ООО «</w:t>
      </w:r>
      <w:proofErr w:type="spellStart"/>
      <w:r>
        <w:rPr>
          <w:rFonts w:ascii="Tahoma" w:hAnsi="Tahoma" w:cs="Tahoma"/>
          <w:color w:val="000000"/>
          <w:sz w:val="18"/>
          <w:szCs w:val="18"/>
        </w:rPr>
        <w:t>ЕнисейСтройСервис</w:t>
      </w:r>
      <w:proofErr w:type="spellEnd"/>
      <w:r>
        <w:rPr>
          <w:rFonts w:ascii="Tahoma" w:hAnsi="Tahoma" w:cs="Tahoma"/>
          <w:color w:val="000000"/>
          <w:sz w:val="18"/>
          <w:szCs w:val="18"/>
        </w:rPr>
        <w:t>», имеющий свидетельство № 0155.01-2013-2464239970-П-172 и № 0269.02-2012-2464239970-С-221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выданное Некоммерческим партнерством «Саморегулируемая организация Некоммерческое партнерство по содействию и развитию строительной деятельности «Содружество Строителей» г. Санкт-Петербурга (Регистрационный номер в государственном реестре саморегулируемых организаций СРО-С-221-30042010).</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 Способами обеспечения исполнения обязательств застройщика по договору являются: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залог в порядке, предусмотренном ст. 13-15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в порядке, предусмотренном ст. 15.2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 Иных договоров и сделок, для привлечения денежных средств, для осуществления проекта строительства, не имеется.</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Директор</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ООО «Сибирь-</w:t>
      </w:r>
      <w:proofErr w:type="gramStart"/>
      <w:r>
        <w:rPr>
          <w:rStyle w:val="a4"/>
          <w:rFonts w:ascii="Tahoma" w:hAnsi="Tahoma" w:cs="Tahoma"/>
          <w:color w:val="000000"/>
          <w:sz w:val="18"/>
          <w:szCs w:val="18"/>
        </w:rPr>
        <w:t>Инвест»   </w:t>
      </w:r>
      <w:proofErr w:type="gramEnd"/>
      <w:r>
        <w:rPr>
          <w:rFonts w:ascii="Tahoma" w:hAnsi="Tahoma" w:cs="Tahoma"/>
          <w:color w:val="000000"/>
          <w:sz w:val="18"/>
          <w:szCs w:val="18"/>
        </w:rPr>
        <w:t>                                                                       </w:t>
      </w:r>
      <w:r>
        <w:rPr>
          <w:rStyle w:val="a4"/>
          <w:rFonts w:ascii="Tahoma" w:hAnsi="Tahoma" w:cs="Tahoma"/>
          <w:color w:val="000000"/>
          <w:sz w:val="18"/>
          <w:szCs w:val="18"/>
        </w:rPr>
        <w:t>С.Ф.Зленко</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w:t>
      </w:r>
    </w:p>
    <w:p w:rsidR="0093107F" w:rsidRDefault="0093107F" w:rsidP="0093107F">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09 апреля 2015г.</w:t>
      </w:r>
    </w:p>
    <w:p w:rsidR="008047A4" w:rsidRPr="006C7577" w:rsidRDefault="008047A4" w:rsidP="006C7577">
      <w:bookmarkStart w:id="0" w:name="_GoBack"/>
      <w:bookmarkEnd w:id="0"/>
    </w:p>
    <w:sectPr w:rsidR="008047A4" w:rsidRPr="006C7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491D"/>
    <w:multiLevelType w:val="multilevel"/>
    <w:tmpl w:val="457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B13F9"/>
    <w:multiLevelType w:val="multilevel"/>
    <w:tmpl w:val="EBFA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22A9E"/>
    <w:multiLevelType w:val="multilevel"/>
    <w:tmpl w:val="6110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16FD2"/>
    <w:multiLevelType w:val="multilevel"/>
    <w:tmpl w:val="1C0E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F1ACA"/>
    <w:multiLevelType w:val="multilevel"/>
    <w:tmpl w:val="C6A6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26275"/>
    <w:multiLevelType w:val="multilevel"/>
    <w:tmpl w:val="E1CA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61930"/>
    <w:multiLevelType w:val="multilevel"/>
    <w:tmpl w:val="FC0E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621D74"/>
    <w:multiLevelType w:val="multilevel"/>
    <w:tmpl w:val="5BC4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821B6"/>
    <w:multiLevelType w:val="multilevel"/>
    <w:tmpl w:val="E166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F85825"/>
    <w:multiLevelType w:val="multilevel"/>
    <w:tmpl w:val="8DC2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A4412"/>
    <w:multiLevelType w:val="multilevel"/>
    <w:tmpl w:val="4034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14759"/>
    <w:multiLevelType w:val="multilevel"/>
    <w:tmpl w:val="ACDE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6"/>
  </w:num>
  <w:num w:numId="6">
    <w:abstractNumId w:val="11"/>
  </w:num>
  <w:num w:numId="7">
    <w:abstractNumId w:val="9"/>
  </w:num>
  <w:num w:numId="8">
    <w:abstractNumId w:val="2"/>
  </w:num>
  <w:num w:numId="9">
    <w:abstractNumId w:val="7"/>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39"/>
    <w:rsid w:val="00191339"/>
    <w:rsid w:val="001C4BF0"/>
    <w:rsid w:val="002F32CD"/>
    <w:rsid w:val="003E10C7"/>
    <w:rsid w:val="004067A0"/>
    <w:rsid w:val="00465310"/>
    <w:rsid w:val="0050240B"/>
    <w:rsid w:val="00592DBA"/>
    <w:rsid w:val="005B34DC"/>
    <w:rsid w:val="005C7FAE"/>
    <w:rsid w:val="005D6A7C"/>
    <w:rsid w:val="006B7EFE"/>
    <w:rsid w:val="006C7577"/>
    <w:rsid w:val="006D6343"/>
    <w:rsid w:val="0077688C"/>
    <w:rsid w:val="007C4447"/>
    <w:rsid w:val="008047A4"/>
    <w:rsid w:val="0093107F"/>
    <w:rsid w:val="009E053D"/>
    <w:rsid w:val="00B06C8B"/>
    <w:rsid w:val="00B4385C"/>
    <w:rsid w:val="00C1052A"/>
    <w:rsid w:val="00C4691C"/>
    <w:rsid w:val="00CA1A6F"/>
    <w:rsid w:val="00D3537B"/>
    <w:rsid w:val="00DA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C2D4-FBD3-4524-9258-827FF3C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1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C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3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1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339"/>
    <w:rPr>
      <w:b/>
      <w:bCs/>
    </w:rPr>
  </w:style>
  <w:style w:type="character" w:customStyle="1" w:styleId="s5">
    <w:name w:val="s5"/>
    <w:basedOn w:val="a0"/>
    <w:rsid w:val="007C4447"/>
  </w:style>
  <w:style w:type="character" w:styleId="a5">
    <w:name w:val="Hyperlink"/>
    <w:basedOn w:val="a0"/>
    <w:uiPriority w:val="99"/>
    <w:semiHidden/>
    <w:unhideWhenUsed/>
    <w:rsid w:val="00D3537B"/>
    <w:rPr>
      <w:color w:val="0000FF"/>
      <w:u w:val="single"/>
    </w:rPr>
  </w:style>
  <w:style w:type="character" w:customStyle="1" w:styleId="20">
    <w:name w:val="Заголовок 2 Знак"/>
    <w:basedOn w:val="a0"/>
    <w:link w:val="2"/>
    <w:uiPriority w:val="9"/>
    <w:semiHidden/>
    <w:rsid w:val="006C75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8765">
      <w:bodyDiv w:val="1"/>
      <w:marLeft w:val="0"/>
      <w:marRight w:val="0"/>
      <w:marTop w:val="0"/>
      <w:marBottom w:val="0"/>
      <w:divBdr>
        <w:top w:val="none" w:sz="0" w:space="0" w:color="auto"/>
        <w:left w:val="none" w:sz="0" w:space="0" w:color="auto"/>
        <w:bottom w:val="none" w:sz="0" w:space="0" w:color="auto"/>
        <w:right w:val="none" w:sz="0" w:space="0" w:color="auto"/>
      </w:divBdr>
    </w:div>
    <w:div w:id="276058988">
      <w:bodyDiv w:val="1"/>
      <w:marLeft w:val="0"/>
      <w:marRight w:val="0"/>
      <w:marTop w:val="0"/>
      <w:marBottom w:val="0"/>
      <w:divBdr>
        <w:top w:val="none" w:sz="0" w:space="0" w:color="auto"/>
        <w:left w:val="none" w:sz="0" w:space="0" w:color="auto"/>
        <w:bottom w:val="none" w:sz="0" w:space="0" w:color="auto"/>
        <w:right w:val="none" w:sz="0" w:space="0" w:color="auto"/>
      </w:divBdr>
    </w:div>
    <w:div w:id="366872443">
      <w:bodyDiv w:val="1"/>
      <w:marLeft w:val="0"/>
      <w:marRight w:val="0"/>
      <w:marTop w:val="0"/>
      <w:marBottom w:val="0"/>
      <w:divBdr>
        <w:top w:val="none" w:sz="0" w:space="0" w:color="auto"/>
        <w:left w:val="none" w:sz="0" w:space="0" w:color="auto"/>
        <w:bottom w:val="none" w:sz="0" w:space="0" w:color="auto"/>
        <w:right w:val="none" w:sz="0" w:space="0" w:color="auto"/>
      </w:divBdr>
    </w:div>
    <w:div w:id="453208181">
      <w:bodyDiv w:val="1"/>
      <w:marLeft w:val="0"/>
      <w:marRight w:val="0"/>
      <w:marTop w:val="0"/>
      <w:marBottom w:val="0"/>
      <w:divBdr>
        <w:top w:val="none" w:sz="0" w:space="0" w:color="auto"/>
        <w:left w:val="none" w:sz="0" w:space="0" w:color="auto"/>
        <w:bottom w:val="none" w:sz="0" w:space="0" w:color="auto"/>
        <w:right w:val="none" w:sz="0" w:space="0" w:color="auto"/>
      </w:divBdr>
      <w:divsChild>
        <w:div w:id="772867942">
          <w:marLeft w:val="450"/>
          <w:marRight w:val="0"/>
          <w:marTop w:val="0"/>
          <w:marBottom w:val="0"/>
          <w:divBdr>
            <w:top w:val="none" w:sz="0" w:space="0" w:color="auto"/>
            <w:left w:val="none" w:sz="0" w:space="0" w:color="auto"/>
            <w:bottom w:val="none" w:sz="0" w:space="0" w:color="auto"/>
            <w:right w:val="none" w:sz="0" w:space="0" w:color="auto"/>
          </w:divBdr>
          <w:divsChild>
            <w:div w:id="3738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249">
      <w:bodyDiv w:val="1"/>
      <w:marLeft w:val="0"/>
      <w:marRight w:val="0"/>
      <w:marTop w:val="0"/>
      <w:marBottom w:val="0"/>
      <w:divBdr>
        <w:top w:val="none" w:sz="0" w:space="0" w:color="auto"/>
        <w:left w:val="none" w:sz="0" w:space="0" w:color="auto"/>
        <w:bottom w:val="none" w:sz="0" w:space="0" w:color="auto"/>
        <w:right w:val="none" w:sz="0" w:space="0" w:color="auto"/>
      </w:divBdr>
    </w:div>
    <w:div w:id="717969821">
      <w:bodyDiv w:val="1"/>
      <w:marLeft w:val="0"/>
      <w:marRight w:val="0"/>
      <w:marTop w:val="0"/>
      <w:marBottom w:val="0"/>
      <w:divBdr>
        <w:top w:val="none" w:sz="0" w:space="0" w:color="auto"/>
        <w:left w:val="none" w:sz="0" w:space="0" w:color="auto"/>
        <w:bottom w:val="none" w:sz="0" w:space="0" w:color="auto"/>
        <w:right w:val="none" w:sz="0" w:space="0" w:color="auto"/>
      </w:divBdr>
    </w:div>
    <w:div w:id="758063000">
      <w:bodyDiv w:val="1"/>
      <w:marLeft w:val="0"/>
      <w:marRight w:val="0"/>
      <w:marTop w:val="0"/>
      <w:marBottom w:val="0"/>
      <w:divBdr>
        <w:top w:val="none" w:sz="0" w:space="0" w:color="auto"/>
        <w:left w:val="none" w:sz="0" w:space="0" w:color="auto"/>
        <w:bottom w:val="none" w:sz="0" w:space="0" w:color="auto"/>
        <w:right w:val="none" w:sz="0" w:space="0" w:color="auto"/>
      </w:divBdr>
    </w:div>
    <w:div w:id="778447347">
      <w:bodyDiv w:val="1"/>
      <w:marLeft w:val="0"/>
      <w:marRight w:val="0"/>
      <w:marTop w:val="0"/>
      <w:marBottom w:val="0"/>
      <w:divBdr>
        <w:top w:val="none" w:sz="0" w:space="0" w:color="auto"/>
        <w:left w:val="none" w:sz="0" w:space="0" w:color="auto"/>
        <w:bottom w:val="none" w:sz="0" w:space="0" w:color="auto"/>
        <w:right w:val="none" w:sz="0" w:space="0" w:color="auto"/>
      </w:divBdr>
    </w:div>
    <w:div w:id="787089684">
      <w:bodyDiv w:val="1"/>
      <w:marLeft w:val="0"/>
      <w:marRight w:val="0"/>
      <w:marTop w:val="0"/>
      <w:marBottom w:val="0"/>
      <w:divBdr>
        <w:top w:val="none" w:sz="0" w:space="0" w:color="auto"/>
        <w:left w:val="none" w:sz="0" w:space="0" w:color="auto"/>
        <w:bottom w:val="none" w:sz="0" w:space="0" w:color="auto"/>
        <w:right w:val="none" w:sz="0" w:space="0" w:color="auto"/>
      </w:divBdr>
    </w:div>
    <w:div w:id="989480228">
      <w:bodyDiv w:val="1"/>
      <w:marLeft w:val="0"/>
      <w:marRight w:val="0"/>
      <w:marTop w:val="0"/>
      <w:marBottom w:val="0"/>
      <w:divBdr>
        <w:top w:val="none" w:sz="0" w:space="0" w:color="auto"/>
        <w:left w:val="none" w:sz="0" w:space="0" w:color="auto"/>
        <w:bottom w:val="none" w:sz="0" w:space="0" w:color="auto"/>
        <w:right w:val="none" w:sz="0" w:space="0" w:color="auto"/>
      </w:divBdr>
    </w:div>
    <w:div w:id="1028601138">
      <w:bodyDiv w:val="1"/>
      <w:marLeft w:val="0"/>
      <w:marRight w:val="0"/>
      <w:marTop w:val="0"/>
      <w:marBottom w:val="0"/>
      <w:divBdr>
        <w:top w:val="none" w:sz="0" w:space="0" w:color="auto"/>
        <w:left w:val="none" w:sz="0" w:space="0" w:color="auto"/>
        <w:bottom w:val="none" w:sz="0" w:space="0" w:color="auto"/>
        <w:right w:val="none" w:sz="0" w:space="0" w:color="auto"/>
      </w:divBdr>
    </w:div>
    <w:div w:id="1092243153">
      <w:bodyDiv w:val="1"/>
      <w:marLeft w:val="0"/>
      <w:marRight w:val="0"/>
      <w:marTop w:val="0"/>
      <w:marBottom w:val="0"/>
      <w:divBdr>
        <w:top w:val="none" w:sz="0" w:space="0" w:color="auto"/>
        <w:left w:val="none" w:sz="0" w:space="0" w:color="auto"/>
        <w:bottom w:val="none" w:sz="0" w:space="0" w:color="auto"/>
        <w:right w:val="none" w:sz="0" w:space="0" w:color="auto"/>
      </w:divBdr>
    </w:div>
    <w:div w:id="1447847737">
      <w:bodyDiv w:val="1"/>
      <w:marLeft w:val="0"/>
      <w:marRight w:val="0"/>
      <w:marTop w:val="0"/>
      <w:marBottom w:val="0"/>
      <w:divBdr>
        <w:top w:val="none" w:sz="0" w:space="0" w:color="auto"/>
        <w:left w:val="none" w:sz="0" w:space="0" w:color="auto"/>
        <w:bottom w:val="none" w:sz="0" w:space="0" w:color="auto"/>
        <w:right w:val="none" w:sz="0" w:space="0" w:color="auto"/>
      </w:divBdr>
    </w:div>
    <w:div w:id="1480027283">
      <w:bodyDiv w:val="1"/>
      <w:marLeft w:val="0"/>
      <w:marRight w:val="0"/>
      <w:marTop w:val="0"/>
      <w:marBottom w:val="0"/>
      <w:divBdr>
        <w:top w:val="none" w:sz="0" w:space="0" w:color="auto"/>
        <w:left w:val="none" w:sz="0" w:space="0" w:color="auto"/>
        <w:bottom w:val="none" w:sz="0" w:space="0" w:color="auto"/>
        <w:right w:val="none" w:sz="0" w:space="0" w:color="auto"/>
      </w:divBdr>
      <w:divsChild>
        <w:div w:id="856575130">
          <w:marLeft w:val="0"/>
          <w:marRight w:val="0"/>
          <w:marTop w:val="0"/>
          <w:marBottom w:val="0"/>
          <w:divBdr>
            <w:top w:val="none" w:sz="0" w:space="0" w:color="auto"/>
            <w:left w:val="none" w:sz="0" w:space="0" w:color="auto"/>
            <w:bottom w:val="none" w:sz="0" w:space="0" w:color="auto"/>
            <w:right w:val="none" w:sz="0" w:space="0" w:color="auto"/>
          </w:divBdr>
        </w:div>
      </w:divsChild>
    </w:div>
    <w:div w:id="1502046469">
      <w:bodyDiv w:val="1"/>
      <w:marLeft w:val="0"/>
      <w:marRight w:val="0"/>
      <w:marTop w:val="0"/>
      <w:marBottom w:val="0"/>
      <w:divBdr>
        <w:top w:val="none" w:sz="0" w:space="0" w:color="auto"/>
        <w:left w:val="none" w:sz="0" w:space="0" w:color="auto"/>
        <w:bottom w:val="none" w:sz="0" w:space="0" w:color="auto"/>
        <w:right w:val="none" w:sz="0" w:space="0" w:color="auto"/>
      </w:divBdr>
    </w:div>
    <w:div w:id="1593009047">
      <w:bodyDiv w:val="1"/>
      <w:marLeft w:val="0"/>
      <w:marRight w:val="0"/>
      <w:marTop w:val="0"/>
      <w:marBottom w:val="0"/>
      <w:divBdr>
        <w:top w:val="none" w:sz="0" w:space="0" w:color="auto"/>
        <w:left w:val="none" w:sz="0" w:space="0" w:color="auto"/>
        <w:bottom w:val="none" w:sz="0" w:space="0" w:color="auto"/>
        <w:right w:val="none" w:sz="0" w:space="0" w:color="auto"/>
      </w:divBdr>
    </w:div>
    <w:div w:id="1623612018">
      <w:bodyDiv w:val="1"/>
      <w:marLeft w:val="0"/>
      <w:marRight w:val="0"/>
      <w:marTop w:val="0"/>
      <w:marBottom w:val="0"/>
      <w:divBdr>
        <w:top w:val="none" w:sz="0" w:space="0" w:color="auto"/>
        <w:left w:val="none" w:sz="0" w:space="0" w:color="auto"/>
        <w:bottom w:val="none" w:sz="0" w:space="0" w:color="auto"/>
        <w:right w:val="none" w:sz="0" w:space="0" w:color="auto"/>
      </w:divBdr>
    </w:div>
    <w:div w:id="1643735974">
      <w:bodyDiv w:val="1"/>
      <w:marLeft w:val="0"/>
      <w:marRight w:val="0"/>
      <w:marTop w:val="0"/>
      <w:marBottom w:val="0"/>
      <w:divBdr>
        <w:top w:val="none" w:sz="0" w:space="0" w:color="auto"/>
        <w:left w:val="none" w:sz="0" w:space="0" w:color="auto"/>
        <w:bottom w:val="none" w:sz="0" w:space="0" w:color="auto"/>
        <w:right w:val="none" w:sz="0" w:space="0" w:color="auto"/>
      </w:divBdr>
    </w:div>
    <w:div w:id="1647012031">
      <w:bodyDiv w:val="1"/>
      <w:marLeft w:val="0"/>
      <w:marRight w:val="0"/>
      <w:marTop w:val="0"/>
      <w:marBottom w:val="0"/>
      <w:divBdr>
        <w:top w:val="none" w:sz="0" w:space="0" w:color="auto"/>
        <w:left w:val="none" w:sz="0" w:space="0" w:color="auto"/>
        <w:bottom w:val="none" w:sz="0" w:space="0" w:color="auto"/>
        <w:right w:val="none" w:sz="0" w:space="0" w:color="auto"/>
      </w:divBdr>
      <w:divsChild>
        <w:div w:id="1108163631">
          <w:marLeft w:val="0"/>
          <w:marRight w:val="0"/>
          <w:marTop w:val="0"/>
          <w:marBottom w:val="0"/>
          <w:divBdr>
            <w:top w:val="none" w:sz="0" w:space="0" w:color="auto"/>
            <w:left w:val="none" w:sz="0" w:space="0" w:color="auto"/>
            <w:bottom w:val="none" w:sz="0" w:space="0" w:color="auto"/>
            <w:right w:val="none" w:sz="0" w:space="0" w:color="auto"/>
          </w:divBdr>
          <w:divsChild>
            <w:div w:id="50811231">
              <w:marLeft w:val="-450"/>
              <w:marRight w:val="0"/>
              <w:marTop w:val="0"/>
              <w:marBottom w:val="0"/>
              <w:divBdr>
                <w:top w:val="none" w:sz="0" w:space="0" w:color="auto"/>
                <w:left w:val="none" w:sz="0" w:space="0" w:color="auto"/>
                <w:bottom w:val="none" w:sz="0" w:space="0" w:color="auto"/>
                <w:right w:val="none" w:sz="0" w:space="0" w:color="auto"/>
              </w:divBdr>
              <w:divsChild>
                <w:div w:id="1940673701">
                  <w:marLeft w:val="450"/>
                  <w:marRight w:val="0"/>
                  <w:marTop w:val="0"/>
                  <w:marBottom w:val="0"/>
                  <w:divBdr>
                    <w:top w:val="none" w:sz="0" w:space="0" w:color="auto"/>
                    <w:left w:val="none" w:sz="0" w:space="0" w:color="auto"/>
                    <w:bottom w:val="none" w:sz="0" w:space="0" w:color="auto"/>
                    <w:right w:val="none" w:sz="0" w:space="0" w:color="auto"/>
                  </w:divBdr>
                  <w:divsChild>
                    <w:div w:id="1140617133">
                      <w:marLeft w:val="0"/>
                      <w:marRight w:val="0"/>
                      <w:marTop w:val="0"/>
                      <w:marBottom w:val="0"/>
                      <w:divBdr>
                        <w:top w:val="none" w:sz="0" w:space="0" w:color="auto"/>
                        <w:left w:val="none" w:sz="0" w:space="0" w:color="auto"/>
                        <w:bottom w:val="none" w:sz="0" w:space="0" w:color="auto"/>
                        <w:right w:val="none" w:sz="0" w:space="0" w:color="auto"/>
                      </w:divBdr>
                    </w:div>
                  </w:divsChild>
                </w:div>
                <w:div w:id="267548393">
                  <w:marLeft w:val="450"/>
                  <w:marRight w:val="0"/>
                  <w:marTop w:val="0"/>
                  <w:marBottom w:val="0"/>
                  <w:divBdr>
                    <w:top w:val="none" w:sz="0" w:space="0" w:color="auto"/>
                    <w:left w:val="none" w:sz="0" w:space="0" w:color="auto"/>
                    <w:bottom w:val="none" w:sz="0" w:space="0" w:color="auto"/>
                    <w:right w:val="none" w:sz="0" w:space="0" w:color="auto"/>
                  </w:divBdr>
                  <w:divsChild>
                    <w:div w:id="1326392658">
                      <w:marLeft w:val="0"/>
                      <w:marRight w:val="0"/>
                      <w:marTop w:val="0"/>
                      <w:marBottom w:val="300"/>
                      <w:divBdr>
                        <w:top w:val="none" w:sz="0" w:space="0" w:color="auto"/>
                        <w:left w:val="none" w:sz="0" w:space="0" w:color="auto"/>
                        <w:bottom w:val="none" w:sz="0" w:space="0" w:color="auto"/>
                        <w:right w:val="none" w:sz="0" w:space="0" w:color="auto"/>
                      </w:divBdr>
                    </w:div>
                    <w:div w:id="465926453">
                      <w:marLeft w:val="0"/>
                      <w:marRight w:val="0"/>
                      <w:marTop w:val="0"/>
                      <w:marBottom w:val="0"/>
                      <w:divBdr>
                        <w:top w:val="none" w:sz="0" w:space="0" w:color="auto"/>
                        <w:left w:val="none" w:sz="0" w:space="0" w:color="auto"/>
                        <w:bottom w:val="none" w:sz="0" w:space="0" w:color="auto"/>
                        <w:right w:val="none" w:sz="0" w:space="0" w:color="auto"/>
                      </w:divBdr>
                      <w:divsChild>
                        <w:div w:id="1277450180">
                          <w:marLeft w:val="0"/>
                          <w:marRight w:val="0"/>
                          <w:marTop w:val="0"/>
                          <w:marBottom w:val="150"/>
                          <w:divBdr>
                            <w:top w:val="none" w:sz="0" w:space="0" w:color="auto"/>
                            <w:left w:val="none" w:sz="0" w:space="0" w:color="auto"/>
                            <w:bottom w:val="none" w:sz="0" w:space="0" w:color="auto"/>
                            <w:right w:val="none" w:sz="0" w:space="0" w:color="auto"/>
                          </w:divBdr>
                        </w:div>
                        <w:div w:id="566454784">
                          <w:marLeft w:val="0"/>
                          <w:marRight w:val="0"/>
                          <w:marTop w:val="0"/>
                          <w:marBottom w:val="150"/>
                          <w:divBdr>
                            <w:top w:val="none" w:sz="0" w:space="0" w:color="auto"/>
                            <w:left w:val="none" w:sz="0" w:space="0" w:color="auto"/>
                            <w:bottom w:val="none" w:sz="0" w:space="0" w:color="auto"/>
                            <w:right w:val="none" w:sz="0" w:space="0" w:color="auto"/>
                          </w:divBdr>
                        </w:div>
                        <w:div w:id="710149260">
                          <w:marLeft w:val="0"/>
                          <w:marRight w:val="0"/>
                          <w:marTop w:val="0"/>
                          <w:marBottom w:val="150"/>
                          <w:divBdr>
                            <w:top w:val="none" w:sz="0" w:space="0" w:color="auto"/>
                            <w:left w:val="none" w:sz="0" w:space="0" w:color="auto"/>
                            <w:bottom w:val="none" w:sz="0" w:space="0" w:color="auto"/>
                            <w:right w:val="none" w:sz="0" w:space="0" w:color="auto"/>
                          </w:divBdr>
                        </w:div>
                        <w:div w:id="1953825553">
                          <w:marLeft w:val="0"/>
                          <w:marRight w:val="0"/>
                          <w:marTop w:val="0"/>
                          <w:marBottom w:val="150"/>
                          <w:divBdr>
                            <w:top w:val="none" w:sz="0" w:space="0" w:color="auto"/>
                            <w:left w:val="none" w:sz="0" w:space="0" w:color="auto"/>
                            <w:bottom w:val="none" w:sz="0" w:space="0" w:color="auto"/>
                            <w:right w:val="none" w:sz="0" w:space="0" w:color="auto"/>
                          </w:divBdr>
                        </w:div>
                      </w:divsChild>
                    </w:div>
                    <w:div w:id="4634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6399">
      <w:bodyDiv w:val="1"/>
      <w:marLeft w:val="0"/>
      <w:marRight w:val="0"/>
      <w:marTop w:val="0"/>
      <w:marBottom w:val="0"/>
      <w:divBdr>
        <w:top w:val="none" w:sz="0" w:space="0" w:color="auto"/>
        <w:left w:val="none" w:sz="0" w:space="0" w:color="auto"/>
        <w:bottom w:val="none" w:sz="0" w:space="0" w:color="auto"/>
        <w:right w:val="none" w:sz="0" w:space="0" w:color="auto"/>
      </w:divBdr>
    </w:div>
    <w:div w:id="1718583133">
      <w:bodyDiv w:val="1"/>
      <w:marLeft w:val="0"/>
      <w:marRight w:val="0"/>
      <w:marTop w:val="0"/>
      <w:marBottom w:val="0"/>
      <w:divBdr>
        <w:top w:val="none" w:sz="0" w:space="0" w:color="auto"/>
        <w:left w:val="none" w:sz="0" w:space="0" w:color="auto"/>
        <w:bottom w:val="none" w:sz="0" w:space="0" w:color="auto"/>
        <w:right w:val="none" w:sz="0" w:space="0" w:color="auto"/>
      </w:divBdr>
    </w:div>
    <w:div w:id="1760827597">
      <w:bodyDiv w:val="1"/>
      <w:marLeft w:val="0"/>
      <w:marRight w:val="0"/>
      <w:marTop w:val="0"/>
      <w:marBottom w:val="0"/>
      <w:divBdr>
        <w:top w:val="none" w:sz="0" w:space="0" w:color="auto"/>
        <w:left w:val="none" w:sz="0" w:space="0" w:color="auto"/>
        <w:bottom w:val="none" w:sz="0" w:space="0" w:color="auto"/>
        <w:right w:val="none" w:sz="0" w:space="0" w:color="auto"/>
      </w:divBdr>
    </w:div>
    <w:div w:id="1983345572">
      <w:bodyDiv w:val="1"/>
      <w:marLeft w:val="0"/>
      <w:marRight w:val="0"/>
      <w:marTop w:val="0"/>
      <w:marBottom w:val="0"/>
      <w:divBdr>
        <w:top w:val="none" w:sz="0" w:space="0" w:color="auto"/>
        <w:left w:val="none" w:sz="0" w:space="0" w:color="auto"/>
        <w:bottom w:val="none" w:sz="0" w:space="0" w:color="auto"/>
        <w:right w:val="none" w:sz="0" w:space="0" w:color="auto"/>
      </w:divBdr>
    </w:div>
    <w:div w:id="2003659596">
      <w:bodyDiv w:val="1"/>
      <w:marLeft w:val="0"/>
      <w:marRight w:val="0"/>
      <w:marTop w:val="0"/>
      <w:marBottom w:val="0"/>
      <w:divBdr>
        <w:top w:val="none" w:sz="0" w:space="0" w:color="auto"/>
        <w:left w:val="none" w:sz="0" w:space="0" w:color="auto"/>
        <w:bottom w:val="none" w:sz="0" w:space="0" w:color="auto"/>
        <w:right w:val="none" w:sz="0" w:space="0" w:color="auto"/>
      </w:divBdr>
    </w:div>
    <w:div w:id="2075544528">
      <w:bodyDiv w:val="1"/>
      <w:marLeft w:val="0"/>
      <w:marRight w:val="0"/>
      <w:marTop w:val="0"/>
      <w:marBottom w:val="0"/>
      <w:divBdr>
        <w:top w:val="none" w:sz="0" w:space="0" w:color="auto"/>
        <w:left w:val="none" w:sz="0" w:space="0" w:color="auto"/>
        <w:bottom w:val="none" w:sz="0" w:space="0" w:color="auto"/>
        <w:right w:val="none" w:sz="0" w:space="0" w:color="auto"/>
      </w:divBdr>
    </w:div>
    <w:div w:id="2095856255">
      <w:bodyDiv w:val="1"/>
      <w:marLeft w:val="0"/>
      <w:marRight w:val="0"/>
      <w:marTop w:val="0"/>
      <w:marBottom w:val="0"/>
      <w:divBdr>
        <w:top w:val="none" w:sz="0" w:space="0" w:color="auto"/>
        <w:left w:val="none" w:sz="0" w:space="0" w:color="auto"/>
        <w:bottom w:val="none" w:sz="0" w:space="0" w:color="auto"/>
        <w:right w:val="none" w:sz="0" w:space="0" w:color="auto"/>
      </w:divBdr>
    </w:div>
    <w:div w:id="21196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2017-08-30T08:21:00Z</dcterms:created>
  <dcterms:modified xsi:type="dcterms:W3CDTF">2017-08-30T08:21:00Z</dcterms:modified>
</cp:coreProperties>
</file>